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ascii="仿宋" w:hAnsi="仿宋" w:eastAsia="仿宋" w:cs="仿宋"/>
          <w:b/>
          <w:bCs/>
          <w:kern w:val="0"/>
          <w:sz w:val="40"/>
          <w:szCs w:val="40"/>
          <w:highlight w:val="none"/>
          <w:shd w:val="clear" w:color="auto" w:fill="FFFFFF"/>
          <w:lang w:bidi="ar"/>
        </w:rPr>
      </w:pPr>
      <w:bookmarkStart w:id="0" w:name="_GoBack"/>
      <w:r>
        <w:rPr>
          <w:rFonts w:hint="eastAsia" w:ascii="仿宋" w:hAnsi="仿宋" w:eastAsia="仿宋" w:cs="仿宋"/>
          <w:b/>
          <w:bCs/>
          <w:kern w:val="0"/>
          <w:sz w:val="40"/>
          <w:szCs w:val="40"/>
          <w:highlight w:val="none"/>
          <w:shd w:val="clear" w:color="auto" w:fill="FFFFFF"/>
          <w:lang w:bidi="ar"/>
        </w:rPr>
        <w:t>竞买须知</w:t>
      </w:r>
    </w:p>
    <w:p w14:paraId="17325BCA">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rPr>
      </w:pPr>
      <w:r>
        <w:rPr>
          <w:rFonts w:hint="eastAsia" w:ascii="仿宋" w:hAnsi="仿宋" w:eastAsia="仿宋" w:cs="仿宋"/>
          <w:sz w:val="28"/>
          <w:szCs w:val="28"/>
          <w:highlight w:val="none"/>
          <w:u w:val="single"/>
          <w:shd w:val="clear" w:color="auto" w:fill="FFFFFF"/>
        </w:rPr>
        <w:t>广州资产管理有限公司将于</w:t>
      </w:r>
      <w:r>
        <w:rPr>
          <w:rFonts w:hint="eastAsia" w:ascii="仿宋" w:hAnsi="仿宋" w:eastAsia="仿宋" w:cs="仿宋"/>
          <w:sz w:val="28"/>
          <w:szCs w:val="28"/>
          <w:highlight w:val="none"/>
          <w:u w:val="single"/>
          <w:shd w:val="clear" w:color="auto" w:fill="FFFFFF"/>
          <w:lang w:val="en-US" w:eastAsia="zh-CN"/>
        </w:rPr>
        <w:t>202</w:t>
      </w:r>
      <w:r>
        <w:rPr>
          <w:rFonts w:hint="eastAsia" w:ascii="仿宋" w:hAnsi="仿宋" w:eastAsia="仿宋" w:cs="仿宋"/>
          <w:sz w:val="28"/>
          <w:szCs w:val="28"/>
          <w:highlight w:val="none"/>
          <w:u w:val="single"/>
          <w:shd w:val="clear" w:color="auto" w:fill="FFFFFF"/>
        </w:rPr>
        <w:t>6 年 1 月 12 日 10时起至2026 年 1 月 13 日 10 时止（</w:t>
      </w:r>
      <w:r>
        <w:rPr>
          <w:rFonts w:hint="eastAsia" w:ascii="仿宋" w:hAnsi="仿宋" w:eastAsia="仿宋" w:cs="仿宋"/>
          <w:sz w:val="28"/>
          <w:szCs w:val="28"/>
          <w:highlight w:val="none"/>
          <w:shd w:val="clear" w:color="auto" w:fill="FFFFFF"/>
          <w:lang w:bidi="ar"/>
        </w:rPr>
        <w:t>如发生自动延时的，截止时间以延长后的结束时间为准</w:t>
      </w:r>
      <w:r>
        <w:rPr>
          <w:rFonts w:hint="eastAsia" w:ascii="仿宋" w:hAnsi="仿宋" w:eastAsia="仿宋" w:cs="仿宋"/>
          <w:sz w:val="28"/>
          <w:szCs w:val="28"/>
          <w:highlight w:val="none"/>
          <w:u w:val="single"/>
          <w:shd w:val="clear" w:color="auto" w:fill="FFFFFF"/>
        </w:rPr>
        <w:t>）</w:t>
      </w:r>
      <w:r>
        <w:rPr>
          <w:rFonts w:hint="eastAsia" w:ascii="仿宋" w:hAnsi="仿宋" w:eastAsia="仿宋" w:cs="仿宋"/>
          <w:sz w:val="28"/>
          <w:szCs w:val="28"/>
          <w:highlight w:val="none"/>
          <w:shd w:val="clear" w:color="auto" w:fill="FFFFFF"/>
          <w:lang w:bidi="ar"/>
        </w:rPr>
        <w:t>在【</w:t>
      </w:r>
      <w:r>
        <w:rPr>
          <w:rFonts w:hint="eastAsia" w:ascii="仿宋" w:hAnsi="仿宋" w:eastAsia="仿宋" w:cs="仿宋"/>
          <w:sz w:val="28"/>
          <w:szCs w:val="28"/>
          <w:highlight w:val="none"/>
          <w:shd w:val="clear" w:color="auto" w:fill="FFFFFF"/>
          <w:lang w:val="en-US" w:eastAsia="zh-CN" w:bidi="ar"/>
        </w:rPr>
        <w:t>淘宝</w:t>
      </w:r>
      <w:r>
        <w:rPr>
          <w:rFonts w:hint="eastAsia" w:ascii="仿宋" w:hAnsi="仿宋" w:eastAsia="仿宋" w:cs="仿宋"/>
          <w:sz w:val="28"/>
          <w:szCs w:val="28"/>
          <w:highlight w:val="none"/>
          <w:shd w:val="clear" w:color="auto" w:fill="FFFFFF"/>
          <w:lang w:bidi="ar"/>
        </w:rPr>
        <w:t>】网络平台（网址：【https://zc-paimai.taobao.com/】，以下简称“拍卖平台”）开展对</w:t>
      </w:r>
      <w:r>
        <w:rPr>
          <w:rFonts w:hint="eastAsia" w:ascii="仿宋" w:hAnsi="仿宋" w:eastAsia="仿宋" w:cs="仿宋"/>
          <w:sz w:val="28"/>
          <w:szCs w:val="28"/>
          <w:highlight w:val="none"/>
          <w:u w:val="single"/>
          <w:shd w:val="clear" w:color="auto" w:fill="FFFFFF"/>
          <w:lang w:bidi="ar"/>
        </w:rPr>
        <w:t>【惠州飞扬（惠州浩华/惠州方悦）项目】不良债权资产（以下简称“标的资产”）</w:t>
      </w:r>
      <w:r>
        <w:rPr>
          <w:rFonts w:hint="eastAsia" w:ascii="仿宋" w:hAnsi="仿宋" w:eastAsia="仿宋" w:cs="仿宋"/>
          <w:sz w:val="28"/>
          <w:szCs w:val="28"/>
          <w:highlight w:val="none"/>
          <w:shd w:val="clear" w:color="auto" w:fill="FFFFFF"/>
          <w:lang w:bidi="ar"/>
        </w:rPr>
        <w:t>的公开竞价活动</w:t>
      </w:r>
      <w:r>
        <w:rPr>
          <w:rFonts w:hint="eastAsia" w:ascii="仿宋" w:hAnsi="仿宋" w:eastAsia="仿宋" w:cs="仿宋"/>
          <w:sz w:val="28"/>
          <w:szCs w:val="28"/>
          <w:highlight w:val="none"/>
          <w:shd w:val="clear" w:color="auto" w:fill="FFFFFF"/>
        </w:rPr>
        <w:t>，现就有关的网上竞价事宜敬告各位竞买人：</w:t>
      </w:r>
    </w:p>
    <w:p w14:paraId="0450FAE8">
      <w:pPr>
        <w:pStyle w:val="6"/>
        <w:widowControl/>
        <w:numPr>
          <w:ilvl w:val="0"/>
          <w:numId w:val="1"/>
        </w:numPr>
        <w:shd w:val="clear" w:color="auto" w:fill="FFFFFF"/>
        <w:spacing w:before="0" w:beforeAutospacing="0" w:after="75" w:afterAutospacing="0"/>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6"/>
        <w:widowControl/>
        <w:numPr>
          <w:ilvl w:val="0"/>
          <w:numId w:val="1"/>
        </w:numPr>
        <w:shd w:val="clear" w:color="auto" w:fill="FFFFFF"/>
        <w:spacing w:before="0" w:beforeAutospacing="0" w:after="75" w:afterAutospacing="0"/>
        <w:jc w:val="both"/>
        <w:rPr>
          <w:rFonts w:ascii="仿宋" w:hAnsi="仿宋" w:eastAsia="仿宋" w:cs="仿宋"/>
          <w:b/>
          <w:sz w:val="28"/>
          <w:szCs w:val="28"/>
          <w:highlight w:val="none"/>
        </w:rPr>
      </w:pPr>
      <w:r>
        <w:rPr>
          <w:rFonts w:hint="eastAsia" w:ascii="仿宋" w:hAnsi="仿宋" w:eastAsia="仿宋" w:cs="仿宋"/>
          <w:b/>
          <w:bCs/>
          <w:sz w:val="28"/>
          <w:szCs w:val="28"/>
          <w:highlight w:val="none"/>
        </w:rPr>
        <w:t>竞价安排：</w:t>
      </w:r>
    </w:p>
    <w:p w14:paraId="76B17359">
      <w:pPr>
        <w:pStyle w:val="6"/>
        <w:widowControl/>
        <w:numPr>
          <w:ilvl w:val="255"/>
          <w:numId w:val="0"/>
        </w:numPr>
        <w:shd w:val="clear" w:color="auto" w:fill="FFFFFF"/>
        <w:spacing w:before="0" w:beforeAutospacing="0" w:after="75" w:afterAutospacing="0"/>
        <w:ind w:left="420"/>
        <w:jc w:val="both"/>
        <w:rPr>
          <w:rFonts w:ascii="仿宋" w:hAnsi="仿宋" w:eastAsia="仿宋" w:cs="仿宋"/>
          <w:b/>
          <w:bCs/>
          <w:sz w:val="28"/>
          <w:szCs w:val="28"/>
          <w:highlight w:val="none"/>
        </w:rPr>
      </w:pPr>
      <w:r>
        <w:rPr>
          <w:rFonts w:hint="eastAsia" w:ascii="仿宋" w:hAnsi="仿宋" w:eastAsia="仿宋" w:cs="仿宋"/>
          <w:b/>
          <w:bCs/>
          <w:sz w:val="28"/>
          <w:szCs w:val="28"/>
          <w:highlight w:val="none"/>
        </w:rPr>
        <w:t>（一）竞价标的资产</w:t>
      </w:r>
    </w:p>
    <w:p w14:paraId="1E8DD76E">
      <w:pPr>
        <w:pStyle w:val="6"/>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highlight w:val="none"/>
          <w:shd w:val="clear" w:color="auto" w:fill="FFFFFF"/>
          <w:lang w:bidi="ar"/>
        </w:rPr>
      </w:pPr>
      <w:r>
        <w:rPr>
          <w:rFonts w:hint="eastAsia" w:ascii="仿宋" w:hAnsi="仿宋" w:eastAsia="仿宋" w:cs="仿宋"/>
          <w:sz w:val="28"/>
          <w:szCs w:val="28"/>
          <w:highlight w:val="none"/>
          <w:u w:val="single"/>
          <w:shd w:val="clear" w:color="auto" w:fill="FFFFFF"/>
          <w:lang w:bidi="ar"/>
        </w:rPr>
        <w:t>【</w:t>
      </w:r>
      <w:r>
        <w:rPr>
          <w:rFonts w:hint="eastAsia" w:ascii="仿宋" w:hAnsi="仿宋" w:eastAsia="仿宋" w:cs="仿宋"/>
          <w:kern w:val="0"/>
          <w:sz w:val="28"/>
          <w:szCs w:val="28"/>
          <w:highlight w:val="none"/>
          <w:shd w:val="clear" w:color="auto" w:fill="FFFFFF"/>
          <w:lang w:bidi="ar"/>
        </w:rPr>
        <w:t>惠州飞扬（惠州浩华/惠州方悦）项目</w:t>
      </w:r>
      <w:r>
        <w:rPr>
          <w:rFonts w:hint="eastAsia" w:ascii="仿宋" w:hAnsi="仿宋" w:eastAsia="仿宋" w:cs="仿宋"/>
          <w:sz w:val="28"/>
          <w:szCs w:val="28"/>
          <w:highlight w:val="none"/>
          <w:u w:val="single"/>
          <w:shd w:val="clear" w:color="auto" w:fill="FFFFFF"/>
          <w:lang w:bidi="ar"/>
        </w:rPr>
        <w:t>】不良债权资产（以下简称“标的资产”）</w:t>
      </w:r>
      <w:r>
        <w:rPr>
          <w:rFonts w:hint="eastAsia" w:ascii="仿宋" w:hAnsi="仿宋" w:eastAsia="仿宋" w:cs="仿宋"/>
          <w:bCs/>
          <w:sz w:val="28"/>
          <w:szCs w:val="28"/>
          <w:highlight w:val="none"/>
          <w:shd w:val="clear" w:color="auto" w:fill="FFFFFF"/>
          <w:lang w:bidi="ar"/>
        </w:rPr>
        <w:t>竞买起拍价：【307,140,000.00】元；</w:t>
      </w:r>
    </w:p>
    <w:p w14:paraId="61AF24FB">
      <w:pPr>
        <w:pStyle w:val="6"/>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highlight w:val="none"/>
          <w:shd w:val="clear" w:color="auto" w:fill="FFFFFF"/>
          <w:lang w:bidi="ar"/>
        </w:rPr>
      </w:pPr>
      <w:r>
        <w:rPr>
          <w:rFonts w:hint="eastAsia" w:ascii="仿宋" w:hAnsi="仿宋" w:eastAsia="仿宋" w:cs="仿宋"/>
          <w:bCs/>
          <w:sz w:val="28"/>
          <w:szCs w:val="28"/>
          <w:highlight w:val="none"/>
          <w:shd w:val="clear" w:color="auto" w:fill="FFFFFF"/>
          <w:lang w:bidi="ar"/>
        </w:rPr>
        <w:t>保证金：【30,714,000.00】元；</w:t>
      </w:r>
    </w:p>
    <w:p w14:paraId="6F67B0D4">
      <w:pPr>
        <w:pStyle w:val="6"/>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highlight w:val="none"/>
          <w:shd w:val="clear" w:color="auto" w:fill="FFFFFF"/>
          <w:lang w:bidi="ar"/>
        </w:rPr>
      </w:pPr>
      <w:r>
        <w:rPr>
          <w:rFonts w:hint="eastAsia" w:ascii="仿宋" w:hAnsi="仿宋" w:eastAsia="仿宋" w:cs="仿宋"/>
          <w:bCs/>
          <w:sz w:val="28"/>
          <w:szCs w:val="28"/>
          <w:highlight w:val="none"/>
          <w:shd w:val="clear" w:color="auto" w:fill="FFFFFF"/>
          <w:lang w:bidi="ar"/>
        </w:rPr>
        <w:t>增价幅度：【100,000.00】元。</w:t>
      </w:r>
    </w:p>
    <w:p w14:paraId="1B470530">
      <w:pPr>
        <w:pStyle w:val="6"/>
        <w:widowControl/>
        <w:numPr>
          <w:ilvl w:val="255"/>
          <w:numId w:val="0"/>
        </w:numPr>
        <w:shd w:val="clear" w:color="auto" w:fill="FFFFFF"/>
        <w:spacing w:before="0" w:beforeAutospacing="0" w:after="75" w:afterAutospacing="0"/>
        <w:ind w:left="420"/>
        <w:jc w:val="both"/>
        <w:rPr>
          <w:rFonts w:ascii="仿宋" w:hAnsi="仿宋" w:eastAsia="仿宋" w:cs="仿宋"/>
          <w:b/>
          <w:sz w:val="28"/>
          <w:szCs w:val="28"/>
          <w:highlight w:val="none"/>
          <w:shd w:val="clear" w:color="auto" w:fill="FFFFFF"/>
          <w:lang w:bidi="ar"/>
        </w:rPr>
      </w:pPr>
      <w:r>
        <w:rPr>
          <w:rFonts w:hint="eastAsia" w:ascii="仿宋" w:hAnsi="仿宋" w:eastAsia="仿宋" w:cs="仿宋"/>
          <w:b/>
          <w:sz w:val="28"/>
          <w:szCs w:val="28"/>
          <w:highlight w:val="none"/>
          <w:shd w:val="clear" w:color="auto" w:fill="FFFFFF"/>
          <w:lang w:bidi="ar"/>
        </w:rPr>
        <w:t>（二）保证金交纳</w:t>
      </w:r>
    </w:p>
    <w:p w14:paraId="2AA72A4E">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bCs/>
          <w:sz w:val="28"/>
          <w:szCs w:val="28"/>
          <w:highlight w:val="none"/>
          <w:shd w:val="clear" w:color="auto" w:fill="FFFFFF"/>
          <w:lang w:bidi="ar"/>
        </w:rPr>
      </w:pPr>
      <w:r>
        <w:rPr>
          <w:rFonts w:ascii="仿宋" w:hAnsi="仿宋" w:eastAsia="仿宋" w:cs="仿宋"/>
          <w:bCs/>
          <w:sz w:val="28"/>
          <w:szCs w:val="28"/>
          <w:highlight w:val="none"/>
          <w:shd w:val="clear" w:color="auto" w:fill="FFFFFF"/>
          <w:lang w:bidi="ar"/>
        </w:rPr>
        <w:t>保证金需</w:t>
      </w:r>
      <w:r>
        <w:rPr>
          <w:rFonts w:hint="eastAsia" w:ascii="仿宋" w:hAnsi="仿宋" w:eastAsia="仿宋" w:cs="仿宋"/>
          <w:bCs/>
          <w:sz w:val="28"/>
          <w:szCs w:val="28"/>
          <w:highlight w:val="none"/>
          <w:shd w:val="clear" w:color="auto" w:fill="FFFFFF"/>
          <w:lang w:bidi="ar"/>
        </w:rPr>
        <w:t>于</w:t>
      </w:r>
      <w:r>
        <w:rPr>
          <w:rFonts w:ascii="仿宋" w:hAnsi="仿宋" w:eastAsia="仿宋" w:cs="仿宋"/>
          <w:bCs/>
          <w:sz w:val="28"/>
          <w:szCs w:val="28"/>
          <w:highlight w:val="none"/>
          <w:shd w:val="clear" w:color="auto" w:fill="FFFFFF"/>
          <w:lang w:bidi="ar"/>
        </w:rPr>
        <w:t>202</w:t>
      </w:r>
      <w:r>
        <w:rPr>
          <w:rFonts w:hint="eastAsia" w:ascii="仿宋" w:hAnsi="仿宋" w:eastAsia="仿宋" w:cs="仿宋"/>
          <w:bCs/>
          <w:sz w:val="28"/>
          <w:szCs w:val="28"/>
          <w:highlight w:val="none"/>
          <w:shd w:val="clear" w:color="auto" w:fill="FFFFFF"/>
          <w:lang w:val="en-US" w:eastAsia="zh-CN" w:bidi="ar"/>
        </w:rPr>
        <w:t>6</w:t>
      </w:r>
      <w:r>
        <w:rPr>
          <w:rFonts w:ascii="仿宋" w:hAnsi="仿宋" w:eastAsia="仿宋" w:cs="仿宋"/>
          <w:bCs/>
          <w:sz w:val="28"/>
          <w:szCs w:val="28"/>
          <w:highlight w:val="none"/>
          <w:shd w:val="clear" w:color="auto" w:fill="FFFFFF"/>
          <w:lang w:bidi="ar"/>
        </w:rPr>
        <w:t>年</w:t>
      </w:r>
      <w:r>
        <w:rPr>
          <w:rFonts w:hint="eastAsia" w:ascii="仿宋" w:hAnsi="仿宋" w:eastAsia="仿宋" w:cs="仿宋"/>
          <w:bCs/>
          <w:sz w:val="28"/>
          <w:szCs w:val="28"/>
          <w:highlight w:val="none"/>
          <w:shd w:val="clear" w:color="auto" w:fill="FFFFFF"/>
          <w:lang w:val="en-US" w:eastAsia="zh-CN" w:bidi="ar"/>
        </w:rPr>
        <w:t>1</w:t>
      </w:r>
      <w:r>
        <w:rPr>
          <w:rFonts w:ascii="仿宋" w:hAnsi="仿宋" w:eastAsia="仿宋" w:cs="仿宋"/>
          <w:bCs/>
          <w:sz w:val="28"/>
          <w:szCs w:val="28"/>
          <w:highlight w:val="none"/>
          <w:shd w:val="clear" w:color="auto" w:fill="FFFFFF"/>
          <w:lang w:bidi="ar"/>
        </w:rPr>
        <w:t>月</w:t>
      </w:r>
      <w:r>
        <w:rPr>
          <w:rFonts w:hint="eastAsia" w:ascii="仿宋" w:hAnsi="仿宋" w:eastAsia="仿宋" w:cs="仿宋"/>
          <w:bCs/>
          <w:sz w:val="28"/>
          <w:szCs w:val="28"/>
          <w:highlight w:val="none"/>
          <w:shd w:val="clear" w:color="auto" w:fill="FFFFFF"/>
          <w:lang w:val="en-US" w:eastAsia="zh-CN" w:bidi="ar"/>
        </w:rPr>
        <w:t>11</w:t>
      </w:r>
      <w:r>
        <w:rPr>
          <w:rFonts w:ascii="仿宋" w:hAnsi="仿宋" w:eastAsia="仿宋" w:cs="仿宋"/>
          <w:bCs/>
          <w:sz w:val="28"/>
          <w:szCs w:val="28"/>
          <w:highlight w:val="none"/>
          <w:shd w:val="clear" w:color="auto" w:fill="FFFFFF"/>
          <w:lang w:bidi="ar"/>
        </w:rPr>
        <w:t>日</w:t>
      </w:r>
      <w:r>
        <w:rPr>
          <w:rFonts w:hint="eastAsia" w:ascii="仿宋" w:hAnsi="仿宋" w:eastAsia="仿宋" w:cs="仿宋"/>
          <w:bCs/>
          <w:sz w:val="28"/>
          <w:szCs w:val="28"/>
          <w:highlight w:val="none"/>
          <w:shd w:val="clear" w:color="auto" w:fill="FFFFFF"/>
          <w:lang w:eastAsia="zh-CN" w:bidi="ar"/>
        </w:rPr>
        <w:t>1</w:t>
      </w:r>
      <w:r>
        <w:rPr>
          <w:rFonts w:hint="eastAsia" w:ascii="仿宋" w:hAnsi="仿宋" w:eastAsia="仿宋" w:cs="仿宋"/>
          <w:bCs/>
          <w:sz w:val="28"/>
          <w:szCs w:val="28"/>
          <w:highlight w:val="none"/>
          <w:shd w:val="clear" w:color="auto" w:fill="FFFFFF"/>
          <w:lang w:val="en-US" w:eastAsia="zh-CN" w:bidi="ar"/>
        </w:rPr>
        <w:t>7</w:t>
      </w:r>
      <w:r>
        <w:rPr>
          <w:rFonts w:ascii="仿宋" w:hAnsi="仿宋" w:eastAsia="仿宋" w:cs="仿宋"/>
          <w:bCs/>
          <w:sz w:val="28"/>
          <w:szCs w:val="28"/>
          <w:highlight w:val="none"/>
          <w:shd w:val="clear" w:color="auto" w:fill="FFFFFF"/>
          <w:lang w:bidi="ar"/>
        </w:rPr>
        <w:t>时（为确保及时到账及查验,建议提前于</w:t>
      </w:r>
      <w:r>
        <w:rPr>
          <w:rFonts w:ascii="仿宋" w:hAnsi="仿宋" w:eastAsia="仿宋" w:cs="仿宋"/>
          <w:bCs/>
          <w:sz w:val="28"/>
          <w:szCs w:val="28"/>
          <w:highlight w:val="none"/>
          <w:shd w:val="clear" w:color="auto" w:fill="FFFFFF"/>
          <w:lang w:bidi="ar"/>
        </w:rPr>
        <w:t>202</w:t>
      </w:r>
      <w:r>
        <w:rPr>
          <w:rFonts w:hint="eastAsia" w:ascii="仿宋" w:hAnsi="仿宋" w:eastAsia="仿宋" w:cs="仿宋"/>
          <w:bCs/>
          <w:sz w:val="28"/>
          <w:szCs w:val="28"/>
          <w:highlight w:val="none"/>
          <w:shd w:val="clear" w:color="auto" w:fill="FFFFFF"/>
          <w:lang w:val="en-US" w:eastAsia="zh-CN" w:bidi="ar"/>
        </w:rPr>
        <w:t>6</w:t>
      </w:r>
      <w:r>
        <w:rPr>
          <w:rFonts w:ascii="仿宋" w:hAnsi="仿宋" w:eastAsia="仿宋" w:cs="仿宋"/>
          <w:bCs/>
          <w:sz w:val="28"/>
          <w:szCs w:val="28"/>
          <w:highlight w:val="none"/>
          <w:shd w:val="clear" w:color="auto" w:fill="FFFFFF"/>
          <w:lang w:bidi="ar"/>
        </w:rPr>
        <w:t>年</w:t>
      </w:r>
      <w:r>
        <w:rPr>
          <w:rFonts w:hint="eastAsia" w:ascii="仿宋" w:hAnsi="仿宋" w:eastAsia="仿宋" w:cs="仿宋"/>
          <w:bCs/>
          <w:sz w:val="28"/>
          <w:szCs w:val="28"/>
          <w:highlight w:val="none"/>
          <w:shd w:val="clear" w:color="auto" w:fill="FFFFFF"/>
          <w:lang w:val="en-US" w:eastAsia="zh-CN" w:bidi="ar"/>
        </w:rPr>
        <w:t>1</w:t>
      </w:r>
      <w:r>
        <w:rPr>
          <w:rFonts w:ascii="仿宋" w:hAnsi="仿宋" w:eastAsia="仿宋" w:cs="仿宋"/>
          <w:bCs/>
          <w:sz w:val="28"/>
          <w:szCs w:val="28"/>
          <w:highlight w:val="none"/>
          <w:shd w:val="clear" w:color="auto" w:fill="FFFFFF"/>
          <w:lang w:bidi="ar"/>
        </w:rPr>
        <w:t>月</w:t>
      </w:r>
      <w:r>
        <w:rPr>
          <w:rFonts w:hint="eastAsia" w:ascii="仿宋" w:hAnsi="仿宋" w:eastAsia="仿宋" w:cs="仿宋"/>
          <w:bCs/>
          <w:sz w:val="28"/>
          <w:szCs w:val="28"/>
          <w:highlight w:val="none"/>
          <w:shd w:val="clear" w:color="auto" w:fill="FFFFFF"/>
          <w:lang w:val="en-US" w:eastAsia="zh-CN" w:bidi="ar"/>
        </w:rPr>
        <w:t>11</w:t>
      </w:r>
      <w:r>
        <w:rPr>
          <w:rFonts w:ascii="仿宋" w:hAnsi="仿宋" w:eastAsia="仿宋" w:cs="仿宋"/>
          <w:bCs/>
          <w:sz w:val="28"/>
          <w:szCs w:val="28"/>
          <w:highlight w:val="none"/>
          <w:shd w:val="clear" w:color="auto" w:fill="FFFFFF"/>
          <w:lang w:bidi="ar"/>
        </w:rPr>
        <w:t>日</w:t>
      </w:r>
      <w:r>
        <w:rPr>
          <w:rFonts w:hint="eastAsia" w:ascii="仿宋" w:hAnsi="仿宋" w:eastAsia="仿宋" w:cs="仿宋"/>
          <w:bCs/>
          <w:sz w:val="28"/>
          <w:szCs w:val="28"/>
          <w:highlight w:val="none"/>
          <w:shd w:val="clear" w:color="auto" w:fill="FFFFFF"/>
          <w:lang w:val="en-US" w:eastAsia="zh-CN" w:bidi="ar"/>
        </w:rPr>
        <w:t>12</w:t>
      </w:r>
      <w:r>
        <w:rPr>
          <w:rFonts w:ascii="仿宋" w:hAnsi="仿宋" w:eastAsia="仿宋" w:cs="仿宋"/>
          <w:bCs/>
          <w:sz w:val="28"/>
          <w:szCs w:val="28"/>
          <w:highlight w:val="none"/>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highlight w:val="none"/>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highlight w:val="none"/>
          <w:shd w:val="clear" w:color="auto" w:fill="FFFFFF"/>
          <w:lang w:bidi="ar"/>
        </w:rPr>
        <w:t>竞价未成交</w:t>
      </w:r>
      <w:r>
        <w:rPr>
          <w:rFonts w:hint="eastAsia" w:ascii="仿宋" w:hAnsi="仿宋" w:eastAsia="仿宋" w:cs="仿宋"/>
          <w:bCs/>
          <w:sz w:val="28"/>
          <w:szCs w:val="28"/>
          <w:highlight w:val="none"/>
          <w:shd w:val="clear" w:color="auto" w:fill="FFFFFF"/>
          <w:lang w:bidi="ar"/>
        </w:rPr>
        <w:t>或未竞得标的资产</w:t>
      </w:r>
      <w:r>
        <w:rPr>
          <w:rFonts w:ascii="仿宋" w:hAnsi="仿宋" w:eastAsia="仿宋" w:cs="仿宋"/>
          <w:bCs/>
          <w:sz w:val="28"/>
          <w:szCs w:val="28"/>
          <w:highlight w:val="none"/>
          <w:shd w:val="clear" w:color="auto" w:fill="FFFFFF"/>
          <w:lang w:bidi="ar"/>
        </w:rPr>
        <w:t>的，竞买人缴纳的保证金将在</w:t>
      </w:r>
      <w:r>
        <w:rPr>
          <w:rFonts w:hint="eastAsia" w:ascii="仿宋" w:hAnsi="仿宋" w:eastAsia="仿宋" w:cs="仿宋"/>
          <w:bCs/>
          <w:sz w:val="28"/>
          <w:szCs w:val="28"/>
          <w:highlight w:val="none"/>
          <w:shd w:val="clear" w:color="auto" w:fill="FFFFFF"/>
          <w:lang w:bidi="ar"/>
        </w:rPr>
        <w:t>竞价活动结束后</w:t>
      </w:r>
      <w:r>
        <w:rPr>
          <w:rFonts w:ascii="仿宋" w:hAnsi="仿宋" w:eastAsia="仿宋" w:cs="仿宋"/>
          <w:bCs/>
          <w:sz w:val="28"/>
          <w:szCs w:val="28"/>
          <w:highlight w:val="none"/>
          <w:shd w:val="clear" w:color="auto" w:fill="FFFFFF"/>
          <w:lang w:bidi="ar"/>
        </w:rPr>
        <w:t>十个工作日内按原路径退还，期间不计利息。</w:t>
      </w:r>
    </w:p>
    <w:p w14:paraId="2E17673D">
      <w:pPr>
        <w:pStyle w:val="6"/>
        <w:widowControl/>
        <w:numPr>
          <w:ilvl w:val="0"/>
          <w:numId w:val="2"/>
        </w:numPr>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竞买人条件</w:t>
      </w:r>
    </w:p>
    <w:p w14:paraId="08E8649A">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1、具备完全民事行为能力的自然人、法人和非法人组织，并应具备一定的资金实力和良好的信誉条件。</w:t>
      </w:r>
    </w:p>
    <w:p w14:paraId="1956495A">
      <w:pPr>
        <w:pStyle w:val="6"/>
        <w:widowControl/>
        <w:spacing w:beforeAutospacing="0" w:afterAutospacing="0" w:line="360" w:lineRule="atLeast"/>
        <w:ind w:firstLine="560" w:firstLineChars="200"/>
        <w:jc w:val="both"/>
        <w:rPr>
          <w:rFonts w:ascii="仿宋_GB2312" w:hAnsi="仿宋" w:eastAsia="仿宋_GB2312" w:cs="仿宋"/>
          <w:color w:val="000000"/>
          <w:sz w:val="28"/>
          <w:szCs w:val="28"/>
          <w:highlight w:val="none"/>
        </w:rPr>
      </w:pPr>
      <w:r>
        <w:rPr>
          <w:rFonts w:hint="eastAsia" w:ascii="仿宋" w:hAnsi="仿宋" w:eastAsia="仿宋" w:cs="仿宋"/>
          <w:sz w:val="28"/>
          <w:szCs w:val="28"/>
          <w:highlight w:val="none"/>
          <w:shd w:val="clear" w:color="auto" w:fill="FFFFFF"/>
          <w:lang w:bidi="ar"/>
        </w:rPr>
        <w:t>以下人员不得购买或变相购买标的资产：</w:t>
      </w:r>
      <w:r>
        <w:rPr>
          <w:rFonts w:hint="eastAsia" w:ascii="仿宋_GB2312" w:hAnsi="仿宋" w:eastAsia="仿宋_GB2312" w:cs="仿宋"/>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highlight w:val="none"/>
        </w:rPr>
        <w:t>相关法律、行政法规及规范性文件中规定的不得购买或变相购买不良资产的主体。</w:t>
      </w:r>
      <w:r>
        <w:rPr>
          <w:rFonts w:hint="eastAsia" w:ascii="仿宋" w:hAnsi="仿宋" w:eastAsia="仿宋" w:cs="仿宋"/>
          <w:sz w:val="28"/>
          <w:szCs w:val="28"/>
          <w:highlight w:val="none"/>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2、竞买人须信誉良好，资金来源合法</w:t>
      </w:r>
      <w:r>
        <w:rPr>
          <w:rFonts w:hint="eastAsia" w:ascii="仿宋" w:hAnsi="仿宋" w:eastAsia="仿宋" w:cs="仿宋"/>
          <w:kern w:val="0"/>
          <w:sz w:val="28"/>
          <w:szCs w:val="28"/>
          <w:highlight w:val="none"/>
          <w:shd w:val="clear" w:color="auto" w:fill="FFFFFF"/>
          <w:lang w:bidi="ar"/>
        </w:rPr>
        <w:t>合规，能承担购买债权所带来的风险。</w:t>
      </w:r>
    </w:p>
    <w:p w14:paraId="6D5DD08F">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3、竞买人确认竞买人及竞买人股东与标的资产内债务人或担保人无关联关系，并不存在任何形式或可能存在的逃废债情形。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ascii="仿宋" w:hAnsi="仿宋" w:eastAsia="仿宋" w:cs="仿宋"/>
          <w:sz w:val="28"/>
          <w:szCs w:val="28"/>
          <w:highlight w:val="none"/>
        </w:rPr>
      </w:pPr>
      <w:r>
        <w:rPr>
          <w:rFonts w:hint="eastAsia" w:ascii="仿宋" w:hAnsi="仿宋" w:eastAsia="仿宋" w:cs="仿宋"/>
          <w:kern w:val="0"/>
          <w:sz w:val="28"/>
          <w:szCs w:val="28"/>
          <w:highlight w:val="none"/>
          <w:shd w:val="clear" w:color="auto" w:fill="FFFFFF"/>
          <w:lang w:bidi="ar"/>
        </w:rPr>
        <w:t>5、买受人应向广州资产管理有限公司提供《资金来源合法性声明函》。</w:t>
      </w:r>
    </w:p>
    <w:p w14:paraId="69D0EB21">
      <w:pPr>
        <w:pStyle w:val="6"/>
        <w:widowControl/>
        <w:shd w:val="clear" w:color="auto" w:fill="FFFFFF"/>
        <w:spacing w:before="0" w:beforeAutospacing="0" w:after="75" w:afterAutospacing="0"/>
        <w:ind w:left="562"/>
        <w:jc w:val="both"/>
        <w:rPr>
          <w:rFonts w:ascii="仿宋" w:hAnsi="仿宋" w:eastAsia="仿宋" w:cs="仿宋"/>
          <w:b/>
          <w:bCs/>
          <w:sz w:val="28"/>
          <w:szCs w:val="28"/>
          <w:highlight w:val="none"/>
          <w:shd w:val="clear" w:color="auto" w:fill="FFFFFF"/>
        </w:rPr>
      </w:pPr>
      <w:r>
        <w:rPr>
          <w:rFonts w:hint="eastAsia" w:ascii="仿宋" w:hAnsi="仿宋" w:eastAsia="仿宋" w:cs="仿宋"/>
          <w:b/>
          <w:bCs/>
          <w:sz w:val="28"/>
          <w:szCs w:val="28"/>
          <w:highlight w:val="none"/>
          <w:shd w:val="clear" w:color="auto" w:fill="FFFFFF"/>
        </w:rPr>
        <w:t>（四）如竞买人未开立拍卖平台账户</w:t>
      </w:r>
    </w:p>
    <w:p w14:paraId="4FD463D8">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highlight w:val="none"/>
        </w:rPr>
        <w:t>自然人、法人</w:t>
      </w:r>
      <w:r>
        <w:rPr>
          <w:rFonts w:hint="eastAsia" w:ascii="仿宋" w:hAnsi="仿宋" w:eastAsia="仿宋" w:cs="仿宋"/>
          <w:sz w:val="28"/>
          <w:szCs w:val="28"/>
          <w:highlight w:val="none"/>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rPr>
        <w:t>（五）</w:t>
      </w:r>
      <w:r>
        <w:rPr>
          <w:rFonts w:hint="eastAsia" w:ascii="仿宋" w:hAnsi="仿宋" w:eastAsia="仿宋" w:cs="仿宋"/>
          <w:b/>
          <w:bCs/>
          <w:kern w:val="0"/>
          <w:sz w:val="28"/>
          <w:szCs w:val="28"/>
          <w:highlight w:val="none"/>
          <w:shd w:val="clear" w:color="auto" w:fill="FFFFFF"/>
          <w:lang w:bidi="ar"/>
        </w:rPr>
        <w:t>优先购买权的行使</w:t>
      </w:r>
    </w:p>
    <w:p w14:paraId="33528250">
      <w:pPr>
        <w:widowControl/>
        <w:spacing w:line="576"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（六）延时功能</w:t>
      </w:r>
    </w:p>
    <w:p w14:paraId="524FBBC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本次竞价活动设置延时出价功能，在竞价活动结束前，每最后5分钟如果有竞买人出价，就自动延迟5分钟。</w:t>
      </w:r>
    </w:p>
    <w:p w14:paraId="25DC4AF5">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（七）补登公告情形</w:t>
      </w:r>
    </w:p>
    <w:p w14:paraId="3E748E2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三、签约及付款期限</w:t>
      </w:r>
    </w:p>
    <w:p w14:paraId="3A2958F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标的资产竞得者需于标的资产竞价成交之日起【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】个工作日内（凭付款凭证及相关身份材料等原件）到广州资产管理有限公司（</w:t>
      </w:r>
      <w:r>
        <w:rPr>
          <w:rFonts w:hint="eastAsia" w:ascii="仿宋" w:hAnsi="仿宋" w:eastAsia="仿宋" w:cs="仿宋"/>
          <w:kern w:val="0"/>
          <w:sz w:val="28"/>
          <w:szCs w:val="28"/>
          <w:highlight w:val="none"/>
          <w:u w:val="single"/>
          <w:shd w:val="clear" w:color="auto" w:fill="FFFFFF"/>
          <w:lang w:bidi="ar"/>
        </w:rPr>
        <w:t>地址：广州市天河区珠江新城珠江东路28号越秀金融大厦58楼</w:t>
      </w:r>
      <w:r>
        <w:rPr>
          <w:rFonts w:hint="eastAsia" w:ascii="仿宋" w:hAnsi="仿宋" w:eastAsia="仿宋" w:cs="仿宋"/>
          <w:kern w:val="0"/>
          <w:sz w:val="28"/>
          <w:szCs w:val="28"/>
          <w:highlight w:val="none"/>
          <w:shd w:val="clear" w:color="auto" w:fill="FFFFFF"/>
          <w:lang w:bidi="ar"/>
        </w:rPr>
        <w:t>）正式签署广州资产管理有限公司提供的《债权转让协议》，逾期则视为买受人违约，竞价保证金不予退还。</w:t>
      </w:r>
    </w:p>
    <w:p w14:paraId="75529CB5">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买受人可选择一次性付款或分期付款。具体如下：</w:t>
      </w:r>
    </w:p>
    <w:p w14:paraId="5735158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1.若买受人选择一次性付款的，买受人缴纳的竞价保证金自竞价成交之日自动转为履约保证金，买受人须在签订《债权转让协议》之日起【</w:t>
      </w:r>
      <w:r>
        <w:rPr>
          <w:rFonts w:hint="eastAsia" w:ascii="仿宋" w:hAnsi="仿宋" w:eastAsia="仿宋" w:cs="仿宋"/>
          <w:sz w:val="28"/>
          <w:szCs w:val="28"/>
          <w:highlight w:val="none"/>
          <w:shd w:val="clear" w:color="auto" w:fill="FFFFFF"/>
          <w:lang w:val="en-US" w:eastAsia="zh-CN" w:bidi="ar"/>
        </w:rPr>
        <w:t>5</w:t>
      </w:r>
      <w:r>
        <w:rPr>
          <w:rFonts w:hint="eastAsia" w:ascii="仿宋" w:hAnsi="仿宋" w:eastAsia="仿宋" w:cs="仿宋"/>
          <w:sz w:val="28"/>
          <w:szCs w:val="28"/>
          <w:highlight w:val="none"/>
          <w:shd w:val="clear" w:color="auto" w:fill="FFFFFF"/>
          <w:lang w:bidi="ar"/>
        </w:rPr>
        <w:t>】个工作日内付清全款，届时履约保证金转为相应成交价款。</w:t>
      </w:r>
    </w:p>
    <w:p w14:paraId="19CC76E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2.若买受人选择分期付款的，则：</w:t>
      </w:r>
    </w:p>
    <w:p w14:paraId="3F06FEF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①买受人缴纳的竞价保证金自竞价成交之日自动转为履约保证金，并于签订《债权转让协议》之日自动转为成交价款的一部分。</w:t>
      </w:r>
    </w:p>
    <w:p w14:paraId="0386E886">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②须于成交当日支付不低于相当于成交价格【</w:t>
      </w:r>
      <w:r>
        <w:rPr>
          <w:rFonts w:hint="eastAsia" w:ascii="仿宋" w:hAnsi="仿宋" w:eastAsia="仿宋" w:cs="仿宋"/>
          <w:sz w:val="28"/>
          <w:szCs w:val="28"/>
          <w:highlight w:val="none"/>
          <w:shd w:val="clear" w:color="auto" w:fill="FFFFFF"/>
          <w:lang w:val="en-US" w:eastAsia="zh-CN" w:bidi="ar"/>
        </w:rPr>
        <w:t>30</w:t>
      </w:r>
      <w:r>
        <w:rPr>
          <w:rFonts w:hint="eastAsia" w:ascii="仿宋" w:hAnsi="仿宋" w:eastAsia="仿宋" w:cs="仿宋"/>
          <w:sz w:val="28"/>
          <w:szCs w:val="28"/>
          <w:highlight w:val="none"/>
          <w:shd w:val="clear" w:color="auto" w:fill="FFFFFF"/>
          <w:lang w:bidi="ar"/>
        </w:rPr>
        <w:t>】%的成交价款，剩余成交价款自成交之日起【</w:t>
      </w:r>
      <w:r>
        <w:rPr>
          <w:rFonts w:hint="eastAsia" w:ascii="仿宋" w:hAnsi="仿宋" w:eastAsia="仿宋" w:cs="仿宋"/>
          <w:sz w:val="28"/>
          <w:szCs w:val="28"/>
          <w:highlight w:val="none"/>
          <w:shd w:val="clear" w:color="auto" w:fill="FFFFFF"/>
          <w:lang w:val="en-US" w:eastAsia="zh-CN" w:bidi="ar"/>
        </w:rPr>
        <w:t>2</w:t>
      </w:r>
      <w:r>
        <w:rPr>
          <w:rFonts w:hint="eastAsia" w:ascii="仿宋" w:hAnsi="仿宋" w:eastAsia="仿宋" w:cs="仿宋"/>
          <w:sz w:val="28"/>
          <w:szCs w:val="28"/>
          <w:highlight w:val="none"/>
          <w:shd w:val="clear" w:color="auto" w:fill="FFFFFF"/>
          <w:lang w:bidi="ar"/>
        </w:rPr>
        <w:t>】年内分期支付完毕。</w:t>
      </w:r>
    </w:p>
    <w:p w14:paraId="74EDE83D">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③分期支付期间，买受人须以剩余未付成交价款为基数，按照【</w:t>
      </w:r>
      <w:r>
        <w:rPr>
          <w:rFonts w:hint="eastAsia" w:ascii="仿宋" w:hAnsi="仿宋" w:eastAsia="仿宋" w:cs="仿宋"/>
          <w:sz w:val="28"/>
          <w:szCs w:val="28"/>
          <w:highlight w:val="none"/>
          <w:shd w:val="clear" w:color="auto" w:fill="FFFFFF"/>
          <w:lang w:val="en-US" w:eastAsia="zh-CN" w:bidi="ar"/>
        </w:rPr>
        <w:t>10</w:t>
      </w:r>
      <w:r>
        <w:rPr>
          <w:rFonts w:hint="eastAsia" w:ascii="仿宋" w:hAnsi="仿宋" w:eastAsia="仿宋" w:cs="仿宋"/>
          <w:sz w:val="28"/>
          <w:szCs w:val="28"/>
          <w:highlight w:val="none"/>
          <w:shd w:val="clear" w:color="auto" w:fill="FFFFFF"/>
          <w:lang w:bidi="ar"/>
        </w:rPr>
        <w:t>】%/年的标准按季向广州资产支付资金占用费，期间债权处置回收优先冲抵成交价款及资金占用费及违约金（如有）。</w:t>
      </w:r>
    </w:p>
    <w:p w14:paraId="10C8FE97">
      <w:pPr>
        <w:pStyle w:val="6"/>
        <w:widowControl/>
        <w:numPr>
          <w:ilvl w:val="255"/>
          <w:numId w:val="0"/>
        </w:numPr>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四、保证金规则及违约责任</w:t>
      </w:r>
    </w:p>
    <w:p w14:paraId="2C52629F">
      <w:pPr>
        <w:widowControl/>
        <w:shd w:val="clear" w:color="auto" w:fill="FFFFFF"/>
        <w:spacing w:line="360" w:lineRule="auto"/>
        <w:ind w:firstLine="562" w:firstLineChars="200"/>
        <w:rPr>
          <w:rFonts w:ascii="仿宋" w:hAnsi="仿宋" w:eastAsia="仿宋" w:cs="仿宋"/>
          <w:b/>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（一）保证金规则</w:t>
      </w:r>
    </w:p>
    <w:p w14:paraId="59B90CBC">
      <w:pPr>
        <w:widowControl/>
        <w:shd w:val="clear" w:color="auto" w:fill="FFFFFF"/>
        <w:spacing w:line="360" w:lineRule="auto"/>
        <w:ind w:firstLine="560" w:firstLineChars="200"/>
        <w:rPr>
          <w:rFonts w:ascii="仿宋" w:hAnsi="仿宋" w:eastAsia="仿宋" w:cs="仿宋"/>
          <w:bCs/>
          <w:kern w:val="0"/>
          <w:sz w:val="28"/>
          <w:szCs w:val="28"/>
          <w:highlight w:val="none"/>
          <w:shd w:val="clear" w:color="auto" w:fill="FFFFFF"/>
          <w:lang w:bidi="ar"/>
        </w:rPr>
      </w:pPr>
      <w:r>
        <w:rPr>
          <w:rFonts w:hint="eastAsia" w:ascii="仿宋" w:hAnsi="仿宋" w:eastAsia="仿宋" w:cs="仿宋"/>
          <w:bCs/>
          <w:kern w:val="0"/>
          <w:sz w:val="28"/>
          <w:szCs w:val="28"/>
          <w:highlight w:val="none"/>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highlight w:val="none"/>
          <w:shd w:val="clear" w:color="auto" w:fill="FFFFFF"/>
          <w:lang w:bidi="ar"/>
        </w:rPr>
        <w:t>【或拍卖平台】</w:t>
      </w:r>
      <w:r>
        <w:rPr>
          <w:rFonts w:hint="eastAsia" w:ascii="仿宋" w:hAnsi="仿宋" w:eastAsia="仿宋" w:cs="仿宋"/>
          <w:bCs/>
          <w:kern w:val="0"/>
          <w:sz w:val="28"/>
          <w:szCs w:val="28"/>
          <w:highlight w:val="none"/>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highlight w:val="none"/>
          <w:shd w:val="clear" w:color="auto" w:fill="FFFFFF"/>
        </w:rPr>
        <w:t>（通过拍卖平台缴纳保证金的，具体退回规则以拍卖平台相关规定为准）</w:t>
      </w:r>
      <w:r>
        <w:rPr>
          <w:rFonts w:hint="eastAsia" w:ascii="仿宋" w:hAnsi="仿宋" w:eastAsia="仿宋" w:cs="仿宋"/>
          <w:bCs/>
          <w:kern w:val="0"/>
          <w:sz w:val="28"/>
          <w:szCs w:val="28"/>
          <w:highlight w:val="none"/>
          <w:shd w:val="clear" w:color="auto" w:fill="FFFFFF"/>
          <w:lang w:bidi="ar"/>
        </w:rPr>
        <w:t>，期间不计利息。</w:t>
      </w:r>
    </w:p>
    <w:p w14:paraId="33EB978D">
      <w:pPr>
        <w:widowControl/>
        <w:shd w:val="clear" w:color="auto" w:fill="FFFFFF"/>
        <w:spacing w:line="360" w:lineRule="auto"/>
        <w:ind w:firstLine="560" w:firstLineChars="200"/>
        <w:rPr>
          <w:rFonts w:ascii="仿宋" w:hAnsi="仿宋" w:eastAsia="仿宋" w:cs="仿宋"/>
          <w:b/>
          <w:kern w:val="0"/>
          <w:sz w:val="28"/>
          <w:szCs w:val="28"/>
          <w:highlight w:val="none"/>
          <w:shd w:val="clear" w:color="auto" w:fill="FFFFFF"/>
          <w:lang w:bidi="ar"/>
        </w:rPr>
      </w:pPr>
      <w:r>
        <w:rPr>
          <w:rFonts w:hint="eastAsia" w:ascii="仿宋" w:hAnsi="仿宋" w:eastAsia="仿宋" w:cs="仿宋"/>
          <w:bCs/>
          <w:kern w:val="0"/>
          <w:sz w:val="28"/>
          <w:szCs w:val="28"/>
          <w:highlight w:val="none"/>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2.下列情况，竞买人缴纳的保证金不予退还，</w:t>
      </w:r>
      <w:r>
        <w:rPr>
          <w:rFonts w:hint="eastAsia" w:ascii="仿宋" w:hAnsi="仿宋" w:eastAsia="仿宋" w:cs="仿宋"/>
          <w:kern w:val="0"/>
          <w:sz w:val="28"/>
          <w:szCs w:val="28"/>
          <w:highlight w:val="none"/>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（4）竞买人存在逃废债情形；</w:t>
      </w:r>
    </w:p>
    <w:p w14:paraId="13DEBFF9">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（6）其他违法违规情形。</w:t>
      </w:r>
    </w:p>
    <w:p w14:paraId="3C48A016">
      <w:pPr>
        <w:widowControl/>
        <w:shd w:val="clear" w:color="auto" w:fill="FFFFFF"/>
        <w:spacing w:line="360" w:lineRule="auto"/>
        <w:ind w:firstLine="562" w:firstLineChars="200"/>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（二）违约责任</w:t>
      </w:r>
    </w:p>
    <w:p w14:paraId="5E875674">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买受人应在竞买成功之日起【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1.一次性付款违约责任：</w:t>
      </w:r>
    </w:p>
    <w:p w14:paraId="1BA5A834">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如买受人选择一次性付款，签订《债权转让协议》后违反付款义务，未能按时足额支付相应款项，自逾期之日起，转让方有权采取以下救济措施：</w:t>
      </w:r>
    </w:p>
    <w:p w14:paraId="53469BC9">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（2）解除本协议，该解除权不因买受人已付款项占成交价款的比例多少而受到影响，转让方有权选择单独或同时行使以下一项或多项权利：</w:t>
      </w:r>
    </w:p>
    <w:p w14:paraId="54EE2A3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①没收买受人已缴纳的竞拍保证金、履约保证金；</w:t>
      </w:r>
    </w:p>
    <w:p w14:paraId="07D4D3A8">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②要求买受人支付解约违约金，违约金数额为成交价款的【30】%；</w:t>
      </w:r>
    </w:p>
    <w:p w14:paraId="21429689">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30D818BD">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2.分期付款违约责任：</w:t>
      </w:r>
    </w:p>
    <w:p w14:paraId="24827B5C">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如买受人选择分期付款，签订《债权转让协议》后违反付款义务，未能按时足额支付相应款项（即包括但不限于资金占用费、剩余成交价款等），自逾期之日起，转让方有权采取以下救济措施：</w:t>
      </w:r>
    </w:p>
    <w:p w14:paraId="1A7B1761">
      <w:pPr>
        <w:pStyle w:val="6"/>
        <w:widowControl/>
        <w:numPr>
          <w:ilvl w:val="0"/>
          <w:numId w:val="3"/>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经甲方催告后，乙方仍未能付清应付的全部款项的（包括但不限于资金占用费、保证金、违约金、管理费、代垫费用、成交价余款等），甲方有权宣布成交款等相应款项支付期限提前到期。乙方应自提前到期之日起以全部应付未付款项（包括但不限于资金占用费、保证金、违约金、管理费、代垫费用、成交价余款等）为基数，按24%/年的标准支付违约金。同时，乙方同意甲方将标的债权另行公开挂牌转让处置，如遇流拍的，甲方有权在流拍价基础上折价继续挂牌转让直至成交。甲方另行处置标的债权所得价款扣除乙方在本协议项下全部应付未付价款（包括但不限于资金占用费、保证金、违约金、管理费、代垫费用、成交价余款等）以及另行处置产生必要费用后仍有剩余的返还乙方；不足抵扣的，不足部分甲方有权继续向乙方追偿。</w:t>
      </w:r>
    </w:p>
    <w:p w14:paraId="22006709">
      <w:pPr>
        <w:pStyle w:val="6"/>
        <w:widowControl/>
        <w:numPr>
          <w:ilvl w:val="0"/>
          <w:numId w:val="3"/>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继续履行《债权转让协议》，自逾期支付之日起转让方有权对买受人逾期支付的成交价款的资金占用费率上浮至【</w:t>
      </w:r>
      <w:r>
        <w:rPr>
          <w:rFonts w:hint="eastAsia" w:ascii="仿宋" w:hAnsi="仿宋" w:eastAsia="仿宋" w:cs="仿宋"/>
          <w:sz w:val="28"/>
          <w:szCs w:val="28"/>
          <w:highlight w:val="none"/>
          <w:shd w:val="clear" w:color="auto" w:fill="FFFFFF"/>
          <w:lang w:val="en-US" w:eastAsia="zh-CN" w:bidi="ar"/>
        </w:rPr>
        <w:t>15</w:t>
      </w:r>
      <w:r>
        <w:rPr>
          <w:rFonts w:hint="eastAsia" w:ascii="仿宋" w:hAnsi="仿宋" w:eastAsia="仿宋" w:cs="仿宋"/>
          <w:sz w:val="28"/>
          <w:szCs w:val="28"/>
          <w:highlight w:val="none"/>
          <w:shd w:val="clear" w:color="auto" w:fill="FFFFFF"/>
          <w:lang w:bidi="ar"/>
        </w:rPr>
        <w:t>】%计收至应付未付成交价款付清之日止，同时对买受人除成交价款以外的其他应付未付款项（包括但不限于资金占用费、代垫费用等）按每日万分之五的标准计收违约金至前述款项付清之日止。但转让方仍保留随时解除协议的权利，该解除权不因买受人已付款项占成交价款的比例多少而受到影响。</w:t>
      </w:r>
    </w:p>
    <w:p w14:paraId="41BDAEFB">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（3）经转让方催告后，买受人仍未能付清应付的全部款项（包括成交价款、资金占用费、代垫费用等），转让方有权解除本协议，收回标的债权，并有权选择单独或同时行使以下一项或多项权利：</w:t>
      </w:r>
    </w:p>
    <w:p w14:paraId="4B7A3F93">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①如标的债权存在经转让方审批同意作分户交割情形的，转让方有权收回未交割的标的债权，已交割债权对应的成交价款不予退还，已完成交割的债权不再收回，未交割的债权不再交割；</w:t>
      </w:r>
    </w:p>
    <w:p w14:paraId="6796DF26">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买受人已支付所有款项（包括但不限于资金占用费、保证金、违约金、管理费、成交价款等）予以没收，用于冲抵买受人应付的资金占用费、违约金、解约违约金、损害赔偿金以及其他应付未付款项等，其中，解约违约金按《债权转让协议》约定的总成交价款的【首付比例和30%孰低者】计收；如买受人已支付的所有款项不足以弥补转让方损失的，转让方有权继续向买受人追索；</w:t>
      </w:r>
    </w:p>
    <w:p w14:paraId="4AA0E252">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自基准日起至本协议解除之日，纳入标的债权范围的资产发生处置回收（包括转让方主动处置和法院诉讼回收、债务人/担保人还款等）的现金或资产全部归转让方所有，与买受人无关。买受人对此予以确认并保证不以任何理由向转让方主张以上现金或资产的任何权利；</w:t>
      </w:r>
    </w:p>
    <w:p w14:paraId="5D887DC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④转让方有权自主重新处置标的债权，标的债权后续处置与收益均与买受人无关。买受人不得就解除行为及/或标的债权向转让方主张任何权利；</w:t>
      </w:r>
    </w:p>
    <w:p w14:paraId="30D6E156">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⑤要求买受人赔偿因违约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707EAA16">
      <w:pPr>
        <w:widowControl/>
        <w:shd w:val="clear" w:color="auto" w:fill="FFFFFF"/>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买受人的违约责任以双方签订的《债权转让协议》约定为准。</w:t>
      </w:r>
    </w:p>
    <w:p w14:paraId="1980E5A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lang w:bidi="ar"/>
        </w:rPr>
        <w:t>3</w:t>
      </w:r>
      <w:r>
        <w:rPr>
          <w:rFonts w:hint="eastAsia" w:ascii="仿宋" w:hAnsi="仿宋" w:eastAsia="仿宋" w:cs="仿宋"/>
          <w:sz w:val="28"/>
          <w:szCs w:val="28"/>
          <w:highlight w:val="none"/>
          <w:shd w:val="clear" w:color="auto" w:fill="FFFFFF"/>
        </w:rPr>
        <w:t>.竞价成交后，买受人以任何理由违约的，已交纳的保证金不予退还，</w:t>
      </w:r>
      <w:r>
        <w:rPr>
          <w:rFonts w:hint="eastAsia" w:ascii="仿宋" w:hAnsi="仿宋" w:eastAsia="仿宋" w:cs="仿宋"/>
          <w:sz w:val="28"/>
          <w:szCs w:val="28"/>
          <w:highlight w:val="none"/>
          <w:shd w:val="clear" w:color="auto" w:fill="FFFFFF"/>
          <w:lang w:bidi="ar"/>
        </w:rPr>
        <w:t>广州资产管理有限公司</w:t>
      </w:r>
      <w:r>
        <w:rPr>
          <w:rFonts w:hint="eastAsia" w:ascii="仿宋" w:hAnsi="仿宋" w:eastAsia="仿宋" w:cs="仿宋"/>
          <w:sz w:val="28"/>
          <w:szCs w:val="28"/>
          <w:highlight w:val="none"/>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rPr>
      </w:pPr>
      <w:r>
        <w:rPr>
          <w:rFonts w:hint="eastAsia" w:ascii="仿宋" w:hAnsi="仿宋" w:eastAsia="仿宋" w:cs="仿宋"/>
          <w:b/>
          <w:bCs/>
          <w:sz w:val="28"/>
          <w:szCs w:val="28"/>
          <w:highlight w:val="none"/>
          <w:shd w:val="clear" w:color="auto" w:fill="FFFFFF"/>
        </w:rPr>
        <w:t>五、重要提示</w:t>
      </w:r>
    </w:p>
    <w:p w14:paraId="6753E1A5">
      <w:pPr>
        <w:pStyle w:val="6"/>
        <w:widowControl/>
        <w:shd w:val="clear" w:color="auto" w:fill="FFFFFF"/>
        <w:spacing w:before="0" w:beforeAutospacing="0" w:after="75" w:afterAutospacing="0"/>
        <w:ind w:firstLine="560" w:firstLineChars="200"/>
        <w:jc w:val="both"/>
        <w:rPr>
          <w:rFonts w:ascii="仿宋" w:hAnsi="仿宋" w:eastAsia="仿宋" w:cs="仿宋"/>
          <w:b/>
          <w:bCs/>
          <w:sz w:val="28"/>
          <w:szCs w:val="28"/>
          <w:highlight w:val="none"/>
          <w:shd w:val="clear" w:color="auto" w:fill="FFFFFF"/>
        </w:rPr>
      </w:pPr>
      <w:r>
        <w:rPr>
          <w:rFonts w:hint="eastAsia" w:ascii="仿宋" w:hAnsi="仿宋" w:eastAsia="仿宋" w:cs="仿宋"/>
          <w:sz w:val="28"/>
          <w:szCs w:val="28"/>
          <w:highlight w:val="none"/>
          <w:shd w:val="clear" w:color="auto" w:fill="FFFFFF"/>
        </w:rPr>
        <w:t>1.</w:t>
      </w:r>
      <w:r>
        <w:rPr>
          <w:rFonts w:hint="eastAsia" w:ascii="仿宋" w:hAnsi="仿宋" w:eastAsia="仿宋" w:cs="仿宋"/>
          <w:sz w:val="28"/>
          <w:szCs w:val="28"/>
          <w:highlight w:val="none"/>
          <w:shd w:val="clear" w:color="auto" w:fill="FFFFFF"/>
          <w:lang w:bidi="ar"/>
        </w:rPr>
        <w:t>标的资产按现状转让，</w:t>
      </w:r>
      <w:r>
        <w:rPr>
          <w:rFonts w:hint="eastAsia" w:ascii="仿宋" w:hAnsi="仿宋" w:eastAsia="仿宋" w:cs="仿宋"/>
          <w:sz w:val="28"/>
          <w:szCs w:val="28"/>
          <w:highlight w:val="none"/>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highlight w:val="none"/>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2.竞买人报名并缴纳相应竞买保证金，视为做出如下保证和承诺：</w:t>
      </w:r>
    </w:p>
    <w:p w14:paraId="33740B8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（1）竞买人资格：竞买人符合本须知二（三）所述竞买人条件要求。因不符合条件参加竞买的，由竞买人自行承担相应的法律责任。</w:t>
      </w:r>
    </w:p>
    <w:p w14:paraId="61A5970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（5）竞买人已被告知并完全理解，竞买人受让标的资产后，对该标的资产在基准日以后产生的利息、罚息、复利的请求权，竞买人可能无法继续享有。</w:t>
      </w:r>
    </w:p>
    <w:p w14:paraId="2285BFC4">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C.标的资产可能存在未生效、无效或被撤销的情形；</w:t>
      </w:r>
    </w:p>
    <w:p w14:paraId="3B66B7E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D.标的资产文件可能存在不完整、原件缺失或内容冲突等相关情形；</w:t>
      </w:r>
    </w:p>
    <w:p w14:paraId="0947251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E.担保合同可能存在约定主债权未经担保人同意不可转让或担保人只对特定债权人承担担保责任的情形；</w:t>
      </w:r>
    </w:p>
    <w:p w14:paraId="7EBDA98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G.已经进入诉讼程序的标的资产，可能存在因转让方未在法定期限内申请继续查封而导致转让方对债务人的资产失去实际控制权；</w:t>
      </w:r>
    </w:p>
    <w:p w14:paraId="7B2CE65B">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H.涉诉标的资产可能存在败诉、不能变更诉讼主体、执行主体等诉讼风险；</w:t>
      </w:r>
    </w:p>
    <w:p w14:paraId="213A51F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I.标的资产可能存在欠缴各种诉讼费用的情形；</w:t>
      </w:r>
    </w:p>
    <w:p w14:paraId="1BDDD6E4">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J.标的资产可能已被全部或部分减免、被抵销、被清偿；</w:t>
      </w:r>
    </w:p>
    <w:p w14:paraId="17E0B1D0">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K.原债权人未就标的资产的转让行为通知债务人或担保人，使得债权转让行为尚未对债务人或担保人发生法律效力；</w:t>
      </w:r>
    </w:p>
    <w:p w14:paraId="229DC90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L.银团贷款或社团贷款仅发生部分转让的情形；</w:t>
      </w:r>
    </w:p>
    <w:p w14:paraId="21F5D24C">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M.标的资产可能存在与保证人约定禁止债权转让的情形，存在保证人不再出具书面同意转让债权而不再承担保证责任的风险；</w:t>
      </w:r>
    </w:p>
    <w:p w14:paraId="7562CFE7">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O.《网上竞价声明》《竞买须知》《竞价公告》《竞价成交确认书》等竞价文件中披露的其他瑕疵、缺陷、风险、责任、义务等。</w:t>
      </w:r>
    </w:p>
    <w:p w14:paraId="22B8A528">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P.标的资产的其他瑕疵或重大缺陷。</w:t>
      </w:r>
    </w:p>
    <w:p w14:paraId="6A50124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rPr>
        <w:t>（11）</w:t>
      </w:r>
      <w:r>
        <w:rPr>
          <w:rFonts w:hint="eastAsia" w:ascii="仿宋" w:hAnsi="仿宋" w:eastAsia="仿宋" w:cs="仿宋"/>
          <w:sz w:val="28"/>
          <w:szCs w:val="28"/>
          <w:highlight w:val="none"/>
          <w:shd w:val="clear" w:color="auto" w:fill="FFFFFF"/>
          <w:lang w:bidi="ar"/>
        </w:rPr>
        <w:t>竞买人成功竞得标的资产后，承担标的资产转让过程中所有税、费。</w:t>
      </w:r>
    </w:p>
    <w:p w14:paraId="6A61690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（12）竞买人成功竞得标的资产并付清成交价款，转让方经买受人要求，可出具成交价款收据，不就成交价款出具相关发票。</w:t>
      </w:r>
    </w:p>
    <w:p w14:paraId="63168BC1">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3.竞买人成为买受人后的特别承诺：</w:t>
      </w:r>
    </w:p>
    <w:p w14:paraId="0B3D830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 xml:space="preserve">（3） </w:t>
      </w:r>
      <w:r>
        <w:rPr>
          <w:rFonts w:hint="eastAsia" w:ascii="仿宋" w:hAnsi="仿宋" w:eastAsia="仿宋" w:cs="仿宋"/>
          <w:sz w:val="28"/>
          <w:szCs w:val="28"/>
          <w:highlight w:val="none"/>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（6）</w:t>
      </w:r>
      <w:r>
        <w:rPr>
          <w:rFonts w:hint="eastAsia" w:ascii="仿宋" w:hAnsi="仿宋" w:eastAsia="仿宋" w:cs="仿宋"/>
          <w:sz w:val="28"/>
          <w:szCs w:val="28"/>
          <w:highlight w:val="none"/>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6"/>
        <w:widowControl/>
        <w:shd w:val="clear" w:color="auto" w:fill="FFFFFF"/>
        <w:spacing w:before="0" w:beforeAutospacing="0" w:after="75" w:afterAutospacing="0"/>
        <w:ind w:left="424" w:leftChars="202"/>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（1）存在违反国家法律法规或其他有关方提出争议情形时；</w:t>
      </w:r>
    </w:p>
    <w:p w14:paraId="69F105DD">
      <w:pPr>
        <w:pStyle w:val="6"/>
        <w:widowControl/>
        <w:shd w:val="clear" w:color="auto" w:fill="FFFFFF"/>
        <w:spacing w:before="0" w:beforeAutospacing="0" w:after="75" w:afterAutospacing="0"/>
        <w:ind w:left="424" w:leftChars="202"/>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（2）在标的资产竞价交易过程中出现违反各项交易规则、细则等相关规定，并妨碍正常交易秩序的；</w:t>
      </w:r>
    </w:p>
    <w:p w14:paraId="79575D28">
      <w:pPr>
        <w:pStyle w:val="6"/>
        <w:widowControl/>
        <w:shd w:val="clear" w:color="auto" w:fill="FFFFFF"/>
        <w:spacing w:before="0" w:beforeAutospacing="0" w:after="75" w:afterAutospacing="0"/>
        <w:ind w:left="424" w:leftChars="202"/>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（3）交易双方及相关主体因纠纷争讼，由仲裁机构（或法院）做出中止和终结决定的。</w:t>
      </w:r>
    </w:p>
    <w:p w14:paraId="3CDDA9C8">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（1）仲裁机构（或法院）做出中止和终结标的资产竞价/转让决定的；</w:t>
      </w:r>
    </w:p>
    <w:p w14:paraId="39C1E67D">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pPr>
        <w:widowControl/>
        <w:spacing w:line="576" w:lineRule="exact"/>
        <w:ind w:firstLine="560" w:firstLineChars="200"/>
        <w:rPr>
          <w:rFonts w:ascii="仿宋" w:hAnsi="仿宋" w:eastAsia="仿宋" w:cs="仿宋"/>
          <w:spacing w:val="-4"/>
          <w:sz w:val="28"/>
          <w:szCs w:val="28"/>
          <w:highlight w:val="none"/>
        </w:rPr>
      </w:pPr>
      <w:r>
        <w:rPr>
          <w:rFonts w:hint="eastAsia" w:ascii="仿宋" w:hAnsi="仿宋" w:eastAsia="仿宋" w:cs="仿宋"/>
          <w:sz w:val="28"/>
          <w:szCs w:val="28"/>
          <w:highlight w:val="none"/>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highlight w:val="none"/>
        </w:rPr>
        <w:t>请向</w:t>
      </w:r>
      <w:r>
        <w:rPr>
          <w:rFonts w:hint="eastAsia" w:ascii="仿宋" w:hAnsi="仿宋" w:eastAsia="仿宋" w:cs="仿宋"/>
          <w:kern w:val="0"/>
          <w:sz w:val="28"/>
          <w:szCs w:val="28"/>
          <w:highlight w:val="none"/>
          <w:shd w:val="clear" w:color="auto" w:fill="FFFFFF"/>
          <w:lang w:bidi="ar"/>
        </w:rPr>
        <w:t>广州资产管理有限公司</w:t>
      </w:r>
      <w:r>
        <w:rPr>
          <w:rFonts w:hint="eastAsia" w:ascii="仿宋" w:hAnsi="仿宋" w:eastAsia="仿宋" w:cs="仿宋"/>
          <w:spacing w:val="-4"/>
          <w:sz w:val="28"/>
          <w:szCs w:val="28"/>
          <w:highlight w:val="none"/>
        </w:rPr>
        <w:t>咨询。</w:t>
      </w:r>
    </w:p>
    <w:p w14:paraId="4DD28042">
      <w:pPr>
        <w:widowControl/>
        <w:spacing w:line="576" w:lineRule="exact"/>
        <w:ind w:firstLine="544" w:firstLineChars="200"/>
        <w:rPr>
          <w:rFonts w:hint="eastAsia" w:ascii="仿宋" w:hAnsi="仿宋" w:eastAsia="仿宋" w:cs="仿宋"/>
          <w:spacing w:val="-4"/>
          <w:sz w:val="28"/>
          <w:szCs w:val="28"/>
          <w:highlight w:val="none"/>
        </w:rPr>
      </w:pPr>
    </w:p>
    <w:p w14:paraId="111D5DD9">
      <w:pPr>
        <w:autoSpaceDN w:val="0"/>
        <w:spacing w:line="660" w:lineRule="exact"/>
        <w:ind w:firstLine="560" w:firstLineChars="200"/>
        <w:rPr>
          <w:rFonts w:hint="default" w:ascii="仿宋" w:hAnsi="仿宋" w:eastAsia="仿宋" w:cs="仿宋"/>
          <w:kern w:val="0"/>
          <w:sz w:val="28"/>
          <w:szCs w:val="28"/>
          <w:highlight w:val="none"/>
          <w:shd w:val="clear" w:color="auto" w:fill="FFFFFF"/>
          <w:lang w:val="en-US" w:eastAsia="zh-CN" w:bidi="ar"/>
        </w:rPr>
      </w:pPr>
      <w:r>
        <w:rPr>
          <w:rFonts w:hint="eastAsia" w:ascii="仿宋" w:hAnsi="仿宋" w:eastAsia="仿宋" w:cs="仿宋"/>
          <w:kern w:val="0"/>
          <w:sz w:val="28"/>
          <w:szCs w:val="28"/>
          <w:highlight w:val="none"/>
          <w:shd w:val="clear" w:color="auto" w:fill="FFFFFF"/>
          <w:lang w:bidi="ar"/>
        </w:rPr>
        <w:t>联系人1：</w:t>
      </w:r>
      <w:r>
        <w:rPr>
          <w:rFonts w:hint="eastAsia" w:ascii="仿宋" w:hAnsi="仿宋" w:eastAsia="仿宋" w:cs="仿宋"/>
          <w:kern w:val="0"/>
          <w:sz w:val="28"/>
          <w:szCs w:val="28"/>
          <w:highlight w:val="none"/>
          <w:shd w:val="clear" w:color="auto" w:fill="FFFFFF"/>
          <w:lang w:val="en-US" w:eastAsia="zh-CN" w:bidi="ar"/>
        </w:rPr>
        <w:t>周经理</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联系电话：</w:t>
      </w:r>
      <w:r>
        <w:rPr>
          <w:rFonts w:hint="eastAsia" w:ascii="仿宋" w:hAnsi="仿宋" w:eastAsia="仿宋" w:cs="仿宋"/>
          <w:kern w:val="0"/>
          <w:sz w:val="28"/>
          <w:szCs w:val="28"/>
          <w:highlight w:val="none"/>
          <w:shd w:val="clear" w:color="auto" w:fill="FFFFFF"/>
          <w:lang w:val="en-US" w:eastAsia="zh-CN" w:bidi="ar"/>
        </w:rPr>
        <w:t>18688497743</w:t>
      </w:r>
    </w:p>
    <w:p w14:paraId="62158432">
      <w:pPr>
        <w:autoSpaceDN w:val="0"/>
        <w:spacing w:line="660"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联系人2：</w:t>
      </w:r>
      <w:r>
        <w:rPr>
          <w:rFonts w:hint="eastAsia" w:ascii="仿宋" w:hAnsi="仿宋" w:eastAsia="仿宋" w:cs="仿宋"/>
          <w:kern w:val="0"/>
          <w:sz w:val="28"/>
          <w:szCs w:val="28"/>
          <w:highlight w:val="none"/>
          <w:shd w:val="clear" w:color="auto" w:fill="FFFFFF"/>
          <w:lang w:val="en-US" w:eastAsia="zh-CN" w:bidi="ar"/>
        </w:rPr>
        <w:t>岑经理</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联系电话：</w:t>
      </w:r>
      <w:r>
        <w:rPr>
          <w:rFonts w:ascii="仿宋" w:hAnsi="仿宋" w:eastAsia="仿宋" w:cs="仿宋"/>
          <w:i w:val="0"/>
          <w:iCs w:val="0"/>
          <w:caps w:val="0"/>
          <w:spacing w:val="0"/>
          <w:kern w:val="0"/>
          <w:sz w:val="28"/>
          <w:szCs w:val="28"/>
          <w:highlight w:val="none"/>
          <w:shd w:val="clear" w:color="auto" w:fill="FFFFFF"/>
          <w:lang w:bidi="ar"/>
        </w:rPr>
        <w:t>18825108715</w:t>
      </w:r>
    </w:p>
    <w:p w14:paraId="6A2C724F">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p>
    <w:p w14:paraId="7AC4524B">
      <w:pPr>
        <w:autoSpaceDN w:val="0"/>
        <w:spacing w:line="660"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联系地址：广州市天河区珠江东路28号越秀金融大厦58楼</w:t>
      </w:r>
    </w:p>
    <w:p w14:paraId="36F6B196">
      <w:pPr>
        <w:spacing w:line="620" w:lineRule="exact"/>
        <w:jc w:val="right"/>
        <w:rPr>
          <w:rFonts w:ascii="仿宋" w:hAnsi="仿宋" w:eastAsia="仿宋" w:cs="仿宋"/>
          <w:sz w:val="28"/>
          <w:szCs w:val="28"/>
          <w:highlight w:val="none"/>
          <w:shd w:val="clear" w:color="auto" w:fill="FFFFFF"/>
        </w:rPr>
      </w:pPr>
    </w:p>
    <w:p w14:paraId="50F9F1D2">
      <w:pPr>
        <w:spacing w:line="620" w:lineRule="exact"/>
        <w:jc w:val="right"/>
        <w:rPr>
          <w:rFonts w:ascii="仿宋" w:hAnsi="仿宋" w:eastAsia="仿宋" w:cs="仿宋"/>
          <w:sz w:val="28"/>
          <w:szCs w:val="28"/>
          <w:highlight w:val="none"/>
          <w:shd w:val="clear" w:color="auto" w:fill="FFFFFF"/>
        </w:rPr>
      </w:pPr>
    </w:p>
    <w:p w14:paraId="2CF16A35">
      <w:pPr>
        <w:spacing w:line="620" w:lineRule="exact"/>
        <w:jc w:val="right"/>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广州资产管理有限公司</w:t>
      </w:r>
    </w:p>
    <w:p w14:paraId="61ABDDCD">
      <w:pPr>
        <w:jc w:val="right"/>
        <w:rPr>
          <w:rFonts w:ascii="仿宋" w:hAnsi="仿宋" w:eastAsia="仿宋" w:cs="仿宋"/>
          <w:sz w:val="28"/>
          <w:szCs w:val="28"/>
          <w:highlight w:val="none"/>
          <w:shd w:val="clear" w:color="auto" w:fill="FFFFFF"/>
        </w:rPr>
      </w:pPr>
      <w:r>
        <w:rPr>
          <w:rFonts w:ascii="仿宋" w:hAnsi="仿宋" w:eastAsia="仿宋" w:cs="仿宋"/>
          <w:sz w:val="28"/>
          <w:szCs w:val="28"/>
          <w:highlight w:val="none"/>
          <w:shd w:val="clear" w:color="auto" w:fill="FFFFFF"/>
        </w:rPr>
        <w:t>202</w:t>
      </w: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年</w:t>
      </w:r>
      <w:r>
        <w:rPr>
          <w:rFonts w:hint="eastAsia" w:ascii="仿宋" w:hAnsi="仿宋" w:eastAsia="仿宋" w:cs="仿宋"/>
          <w:sz w:val="28"/>
          <w:szCs w:val="28"/>
          <w:highlight w:val="none"/>
          <w:shd w:val="clear" w:color="auto" w:fill="FFFFFF"/>
          <w:lang w:val="en-US" w:eastAsia="zh-CN"/>
        </w:rPr>
        <w:t>12</w:t>
      </w:r>
      <w:r>
        <w:rPr>
          <w:rFonts w:hint="eastAsia" w:ascii="仿宋" w:hAnsi="仿宋" w:eastAsia="仿宋" w:cs="仿宋"/>
          <w:sz w:val="28"/>
          <w:szCs w:val="28"/>
          <w:highlight w:val="none"/>
          <w:shd w:val="clear" w:color="auto" w:fill="FFFFFF"/>
        </w:rPr>
        <w:t>月</w:t>
      </w:r>
      <w:r>
        <w:rPr>
          <w:rFonts w:hint="eastAsia" w:ascii="仿宋" w:hAnsi="仿宋" w:eastAsia="仿宋" w:cs="仿宋"/>
          <w:sz w:val="28"/>
          <w:szCs w:val="28"/>
          <w:highlight w:val="none"/>
          <w:shd w:val="clear" w:color="auto" w:fill="FFFFFF"/>
          <w:lang w:val="en-US" w:eastAsia="zh-CN"/>
        </w:rPr>
        <w:t>25</w:t>
      </w:r>
      <w:r>
        <w:rPr>
          <w:rFonts w:hint="eastAsia" w:ascii="仿宋" w:hAnsi="仿宋" w:eastAsia="仿宋" w:cs="仿宋"/>
          <w:sz w:val="28"/>
          <w:szCs w:val="28"/>
          <w:highlight w:val="none"/>
          <w:shd w:val="clear" w:color="auto" w:fill="FFFFFF"/>
        </w:rPr>
        <w:t>日</w:t>
      </w:r>
    </w:p>
    <w:p w14:paraId="3A1413BB">
      <w:pPr>
        <w:jc w:val="right"/>
        <w:rPr>
          <w:rFonts w:ascii="仿宋" w:hAnsi="仿宋" w:eastAsia="仿宋" w:cs="仿宋"/>
          <w:sz w:val="28"/>
          <w:szCs w:val="28"/>
          <w:highlight w:val="none"/>
          <w:shd w:val="clear" w:color="auto" w:fill="FFFFFF"/>
        </w:rPr>
      </w:pPr>
    </w:p>
    <w:p w14:paraId="40B0DA3A">
      <w:pPr>
        <w:jc w:val="right"/>
        <w:rPr>
          <w:rFonts w:ascii="仿宋" w:hAnsi="仿宋" w:eastAsia="仿宋" w:cs="仿宋"/>
          <w:sz w:val="28"/>
          <w:szCs w:val="28"/>
          <w:highlight w:val="none"/>
          <w:shd w:val="clear" w:color="auto" w:fill="FFFFFF"/>
        </w:rPr>
      </w:pP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abstractNum w:abstractNumId="2">
    <w:nsid w:val="2F54AECB"/>
    <w:multiLevelType w:val="singleLevel"/>
    <w:tmpl w:val="2F54AECB"/>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D037B"/>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B4271"/>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BD93C88"/>
    <w:rsid w:val="0D495E50"/>
    <w:rsid w:val="0E5A41D0"/>
    <w:rsid w:val="114E09F6"/>
    <w:rsid w:val="11950F5D"/>
    <w:rsid w:val="11C761B9"/>
    <w:rsid w:val="12C048B7"/>
    <w:rsid w:val="130F2D87"/>
    <w:rsid w:val="133B35B5"/>
    <w:rsid w:val="13D65AB7"/>
    <w:rsid w:val="14233874"/>
    <w:rsid w:val="16173B48"/>
    <w:rsid w:val="16A833AB"/>
    <w:rsid w:val="16BB5E44"/>
    <w:rsid w:val="17387EA0"/>
    <w:rsid w:val="175C63DE"/>
    <w:rsid w:val="199C7EC9"/>
    <w:rsid w:val="1E73495E"/>
    <w:rsid w:val="1ECC1DD5"/>
    <w:rsid w:val="1F265BAC"/>
    <w:rsid w:val="1F8A4A18"/>
    <w:rsid w:val="212058CC"/>
    <w:rsid w:val="220475FC"/>
    <w:rsid w:val="232F12FF"/>
    <w:rsid w:val="23A631F6"/>
    <w:rsid w:val="25FF3A9E"/>
    <w:rsid w:val="26050834"/>
    <w:rsid w:val="267628FF"/>
    <w:rsid w:val="27866434"/>
    <w:rsid w:val="279A5EE5"/>
    <w:rsid w:val="29DF4395"/>
    <w:rsid w:val="2A2F0534"/>
    <w:rsid w:val="2A8E3BD7"/>
    <w:rsid w:val="2E6D5308"/>
    <w:rsid w:val="2F9665D8"/>
    <w:rsid w:val="2FE95A50"/>
    <w:rsid w:val="2FF239AC"/>
    <w:rsid w:val="316E5C4E"/>
    <w:rsid w:val="31D02F2B"/>
    <w:rsid w:val="31E20521"/>
    <w:rsid w:val="326B59F7"/>
    <w:rsid w:val="32891550"/>
    <w:rsid w:val="330A50C4"/>
    <w:rsid w:val="334B0CFA"/>
    <w:rsid w:val="36B80D28"/>
    <w:rsid w:val="383E72EA"/>
    <w:rsid w:val="39850DCD"/>
    <w:rsid w:val="399C0AF6"/>
    <w:rsid w:val="3A4215FF"/>
    <w:rsid w:val="3A9C03AB"/>
    <w:rsid w:val="3C10408D"/>
    <w:rsid w:val="3C7018F2"/>
    <w:rsid w:val="3D7A3499"/>
    <w:rsid w:val="3F7A5703"/>
    <w:rsid w:val="3FA11B8A"/>
    <w:rsid w:val="3FCE219D"/>
    <w:rsid w:val="415332D7"/>
    <w:rsid w:val="423D57A1"/>
    <w:rsid w:val="42B93C3A"/>
    <w:rsid w:val="43EB3AFC"/>
    <w:rsid w:val="465D6A10"/>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506196"/>
    <w:rsid w:val="6E6F1B6B"/>
    <w:rsid w:val="6EC269D3"/>
    <w:rsid w:val="72547259"/>
    <w:rsid w:val="768D3BB1"/>
    <w:rsid w:val="77604D2E"/>
    <w:rsid w:val="78390EEB"/>
    <w:rsid w:val="795508FB"/>
    <w:rsid w:val="7A37456E"/>
    <w:rsid w:val="7BD53670"/>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7"/>
    <w:qFormat/>
    <w:uiPriority w:val="0"/>
    <w:rPr>
      <w:b/>
      <w:bCs/>
    </w:rPr>
  </w:style>
  <w:style w:type="character" w:styleId="10">
    <w:name w:val="Strong"/>
    <w:qFormat/>
    <w:uiPriority w:val="0"/>
    <w:rPr>
      <w:b/>
    </w:rPr>
  </w:style>
  <w:style w:type="character" w:styleId="11">
    <w:name w:val="annotation reference"/>
    <w:basedOn w:val="9"/>
    <w:qFormat/>
    <w:uiPriority w:val="0"/>
    <w:rPr>
      <w:sz w:val="21"/>
      <w:szCs w:val="21"/>
    </w:rPr>
  </w:style>
  <w:style w:type="character" w:customStyle="1" w:styleId="12">
    <w:name w:val="页眉 字符"/>
    <w:link w:val="5"/>
    <w:qFormat/>
    <w:uiPriority w:val="0"/>
    <w:rPr>
      <w:rFonts w:ascii="Calibri" w:hAnsi="Calibri"/>
      <w:kern w:val="2"/>
      <w:sz w:val="18"/>
      <w:szCs w:val="18"/>
    </w:rPr>
  </w:style>
  <w:style w:type="character" w:customStyle="1" w:styleId="13">
    <w:name w:val="页脚 字符"/>
    <w:link w:val="4"/>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9"/>
    <w:link w:val="3"/>
    <w:qFormat/>
    <w:uiPriority w:val="0"/>
    <w:rPr>
      <w:rFonts w:ascii="Calibri" w:hAnsi="Calibri"/>
      <w:kern w:val="2"/>
      <w:sz w:val="18"/>
      <w:szCs w:val="18"/>
    </w:rPr>
  </w:style>
  <w:style w:type="character" w:customStyle="1" w:styleId="16">
    <w:name w:val="批注文字 字符"/>
    <w:basedOn w:val="9"/>
    <w:link w:val="2"/>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宋体" w:cs="Times New Roman"/>
      <w:kern w:val="2"/>
      <w:sz w:val="21"/>
      <w:szCs w:val="24"/>
      <w:lang w:val="en-US" w:eastAsia="zh-CN" w:bidi="ar-SA"/>
    </w:rPr>
  </w:style>
  <w:style w:type="paragraph" w:customStyle="1" w:styleId="19">
    <w:name w:val="修订2"/>
    <w:hidden/>
    <w:unhideWhenUsed/>
    <w:qFormat/>
    <w:uiPriority w:val="99"/>
    <w:rPr>
      <w:rFonts w:ascii="Calibri" w:hAnsi="Calibri" w:eastAsia="宋体" w:cs="Times New Roman"/>
      <w:kern w:val="2"/>
      <w:sz w:val="21"/>
      <w:szCs w:val="24"/>
      <w:lang w:val="en-US" w:eastAsia="zh-CN" w:bidi="ar-SA"/>
    </w:rPr>
  </w:style>
  <w:style w:type="paragraph" w:customStyle="1" w:styleId="20">
    <w:name w:val="修订3"/>
    <w:hidden/>
    <w:unhideWhenUsed/>
    <w:qFormat/>
    <w:uiPriority w:val="99"/>
    <w:rPr>
      <w:rFonts w:ascii="Calibri" w:hAnsi="Calibri" w:eastAsia="宋体" w:cs="Times New Roman"/>
      <w:kern w:val="2"/>
      <w:sz w:val="21"/>
      <w:szCs w:val="24"/>
      <w:lang w:val="en-US" w:eastAsia="zh-CN" w:bidi="ar-SA"/>
    </w:rPr>
  </w:style>
  <w:style w:type="paragraph" w:customStyle="1" w:styleId="21">
    <w:name w:val="修订4"/>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18</Pages>
  <Words>9259</Words>
  <Characters>9417</Characters>
  <Lines>70</Lines>
  <Paragraphs>19</Paragraphs>
  <TotalTime>4</TotalTime>
  <ScaleCrop>false</ScaleCrop>
  <LinksUpToDate>false</LinksUpToDate>
  <CharactersWithSpaces>9485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2025-10-11T07:59:00Z</dcterms:created>
  <dc:creator>Administrator</dc:creator>
  <cp:lastModifiedBy>ZHL</cp:lastModifiedBy>
  <cp:lastPrinted>2024-09-23T01:04:00Z</cp:lastPrinted>
  <dcterms:modified xsi:type="dcterms:W3CDTF">2025-12-25T06:45:17Z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D3C96D36296A4C1081BB7EC906918512_13</vt:lpwstr>
  </property>
  <property fmtid="{D5CDD505-2E9C-101B-9397-08002B2CF9AE}" pid="4" name="KSOTemplateDocerSaveRecord">
    <vt:lpwstr>eyJoZGlkIjoiMzRkMzJiMGQ4YTM1OTNmNzg3Yjg0ODJiYzc3OGRkNzkiLCJ1c2VySWQiOiI0MjYwMDc2MTcifQ==</vt:lpwstr>
  </property>
</Properties>
</file>